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20505957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ШМО учителей </w:t>
            </w:r>
            <w:r>
              <w:rPr>
                <w:rFonts w:ascii="Times New Roman" w:hAnsi="Times New Roman"/>
                <w:color w:val="000000"/>
                <w:sz w:val="28"/>
              </w:rPr>
              <w:t>естественно-математического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/>
        <w:ind w:firstLine="0" w:left="120"/>
      </w:pPr>
    </w:p>
    <w:p w14:paraId="1A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B000000">
      <w:pPr>
        <w:spacing w:after="0"/>
        <w:ind w:firstLine="0" w:left="120"/>
      </w:pP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(ID 2737154)</w:t>
      </w:r>
    </w:p>
    <w:p w14:paraId="20000000">
      <w:pPr>
        <w:spacing w:after="0"/>
        <w:ind w:firstLine="0" w:left="120"/>
        <w:jc w:val="center"/>
      </w:pPr>
    </w:p>
    <w:p w14:paraId="2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«Вероятность и статистика. Углубленный уровень»</w:t>
      </w: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14:paraId="23000000">
      <w:pPr>
        <w:spacing w:after="0"/>
        <w:ind w:firstLine="0" w:left="120"/>
        <w:jc w:val="center"/>
      </w:pP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 w:firstLine="0" w:left="120"/>
        <w:jc w:val="center"/>
      </w:pPr>
    </w:p>
    <w:p w14:paraId="2C000000">
      <w:pPr>
        <w:spacing w:after="0"/>
        <w:ind w:firstLine="0" w:left="120"/>
        <w:jc w:val="center"/>
      </w:pPr>
    </w:p>
    <w:p w14:paraId="2D000000">
      <w:pPr>
        <w:spacing w:after="0"/>
        <w:ind w:firstLine="0" w:left="120"/>
        <w:jc w:val="center"/>
      </w:pPr>
    </w:p>
    <w:p w14:paraId="2E000000">
      <w:pPr>
        <w:spacing w:after="0"/>
        <w:ind w:firstLine="0" w:left="120"/>
        <w:jc w:val="center"/>
      </w:pPr>
    </w:p>
    <w:p w14:paraId="2F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2" w:name="00db9df5-4f18-4315-937d-9949a0b704d1"/>
      <w:bookmarkEnd w:id="2"/>
      <w:r>
        <w:rPr>
          <w:rFonts w:ascii="Times New Roman" w:hAnsi="Times New Roman"/>
          <w:b w:val="1"/>
          <w:color w:val="000000"/>
          <w:sz w:val="28"/>
        </w:rPr>
        <w:t>с</w:t>
      </w:r>
      <w:r>
        <w:rPr>
          <w:rFonts w:ascii="Times New Roman" w:hAnsi="Times New Roman"/>
          <w:b w:val="1"/>
          <w:color w:val="000000"/>
          <w:sz w:val="28"/>
        </w:rPr>
        <w:t>.А</w:t>
      </w:r>
      <w:r>
        <w:rPr>
          <w:rFonts w:ascii="Times New Roman" w:hAnsi="Times New Roman"/>
          <w:b w:val="1"/>
          <w:color w:val="000000"/>
          <w:sz w:val="28"/>
        </w:rPr>
        <w:t>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3" w:name="9cbcb13b-ef51-4f5f-b56f-5fc99c9360c2"/>
      <w:bookmarkEnd w:id="3"/>
      <w:r>
        <w:rPr>
          <w:rFonts w:ascii="Times New Roman" w:hAnsi="Times New Roman"/>
          <w:b w:val="1"/>
          <w:color w:val="000000"/>
          <w:sz w:val="28"/>
        </w:rPr>
        <w:t>2023 год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30000000">
      <w:pPr>
        <w:spacing w:after="0"/>
        <w:ind w:firstLine="0" w:left="120"/>
      </w:pPr>
    </w:p>
    <w:p w14:paraId="31000000">
      <w:pPr>
        <w:spacing w:after="0" w:line="264" w:lineRule="auto"/>
        <w:ind w:firstLine="0" w:left="120"/>
        <w:jc w:val="both"/>
      </w:pPr>
      <w:bookmarkStart w:id="4" w:name="block-20505958"/>
      <w:bookmarkEnd w:id="4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2000000">
      <w:pPr>
        <w:spacing w:after="0" w:line="264" w:lineRule="auto"/>
        <w:ind w:firstLine="0" w:left="120"/>
        <w:jc w:val="both"/>
      </w:pPr>
    </w:p>
    <w:p w14:paraId="3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Учебный курс «Вероятность и </w:t>
      </w:r>
      <w:r>
        <w:rPr>
          <w:rFonts w:ascii="Times New Roman" w:hAnsi="Times New Roman"/>
          <w:color w:val="000000"/>
          <w:sz w:val="28"/>
        </w:rPr>
        <w:t>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</w:t>
      </w:r>
      <w:r>
        <w:rPr>
          <w:rFonts w:ascii="Times New Roman" w:hAnsi="Times New Roman"/>
          <w:color w:val="000000"/>
          <w:sz w:val="28"/>
        </w:rPr>
        <w:t xml:space="preserve">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</w:t>
      </w:r>
      <w:r>
        <w:rPr>
          <w:rFonts w:ascii="Times New Roman" w:hAnsi="Times New Roman"/>
          <w:color w:val="000000"/>
          <w:sz w:val="28"/>
        </w:rPr>
        <w:t>значимости</w:t>
      </w:r>
      <w:r>
        <w:rPr>
          <w:rFonts w:ascii="Times New Roman" w:hAnsi="Times New Roman"/>
          <w:color w:val="000000"/>
          <w:sz w:val="28"/>
        </w:rPr>
        <w:t xml:space="preserve"> и общности математических</w:t>
      </w:r>
      <w:r>
        <w:rPr>
          <w:rFonts w:ascii="Times New Roman" w:hAnsi="Times New Roman"/>
          <w:color w:val="000000"/>
          <w:sz w:val="28"/>
        </w:rPr>
        <w:t xml:space="preserve"> методов познания как неотъемлемой части современного </w:t>
      </w:r>
      <w:r>
        <w:rPr>
          <w:rFonts w:ascii="Times New Roman" w:hAnsi="Times New Roman"/>
          <w:color w:val="000000"/>
          <w:sz w:val="28"/>
        </w:rPr>
        <w:t>естественно-научного</w:t>
      </w:r>
      <w:r>
        <w:rPr>
          <w:rFonts w:ascii="Times New Roman" w:hAnsi="Times New Roman"/>
          <w:color w:val="000000"/>
          <w:sz w:val="28"/>
        </w:rPr>
        <w:t xml:space="preserve"> мировоззрения.</w:t>
      </w:r>
    </w:p>
    <w:p w14:paraId="3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</w:t>
      </w:r>
      <w:r>
        <w:rPr>
          <w:rFonts w:ascii="Times New Roman" w:hAnsi="Times New Roman"/>
          <w:color w:val="000000"/>
          <w:sz w:val="28"/>
        </w:rPr>
        <w:t>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</w:t>
      </w:r>
      <w:r>
        <w:rPr>
          <w:rFonts w:ascii="Times New Roman" w:hAnsi="Times New Roman"/>
          <w:color w:val="000000"/>
          <w:sz w:val="28"/>
        </w:rPr>
        <w:t>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</w:t>
      </w:r>
      <w:r>
        <w:rPr>
          <w:rFonts w:ascii="Times New Roman" w:hAnsi="Times New Roman"/>
          <w:color w:val="000000"/>
          <w:sz w:val="28"/>
        </w:rPr>
        <w:t>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</w:t>
      </w:r>
      <w:r>
        <w:rPr>
          <w:rFonts w:ascii="Times New Roman" w:hAnsi="Times New Roman"/>
          <w:color w:val="000000"/>
          <w:sz w:val="28"/>
        </w:rPr>
        <w:t xml:space="preserve"> занимает обсуждение закона больших чисел – фундаментального закона природы, имеющего математическую формализацию. </w:t>
      </w: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соответствии с указанными целями в структуре учебного курса «Вероятность и статистика» на углублённом уровне выделены основные содержатель</w:t>
      </w:r>
      <w:r>
        <w:rPr>
          <w:rFonts w:ascii="Times New Roman" w:hAnsi="Times New Roman"/>
          <w:color w:val="000000"/>
          <w:sz w:val="28"/>
        </w:rPr>
        <w:t xml:space="preserve">ные линии: «Случайные события и вероятности» и «Случайные величины и закон больших чисел». </w:t>
      </w:r>
    </w:p>
    <w:p w14:paraId="3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Помимо основных линий в учебный ку</w:t>
      </w:r>
      <w:r>
        <w:rPr>
          <w:rFonts w:ascii="Times New Roman" w:hAnsi="Times New Roman"/>
          <w:color w:val="000000"/>
          <w:sz w:val="28"/>
        </w:rPr>
        <w:t>рс вкл</w:t>
      </w:r>
      <w:r>
        <w:rPr>
          <w:rFonts w:ascii="Times New Roman" w:hAnsi="Times New Roman"/>
          <w:color w:val="000000"/>
          <w:sz w:val="28"/>
        </w:rPr>
        <w:t>ючены элементы теории графов и теории множеств, необходимые для полноценного освоения материала данного учебного курса и сме</w:t>
      </w:r>
      <w:r>
        <w:rPr>
          <w:rFonts w:ascii="Times New Roman" w:hAnsi="Times New Roman"/>
          <w:color w:val="000000"/>
          <w:sz w:val="28"/>
        </w:rPr>
        <w:t xml:space="preserve">жных математических учебных курсов. </w:t>
      </w:r>
    </w:p>
    <w:p w14:paraId="3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</w:t>
      </w:r>
      <w:r>
        <w:rPr>
          <w:rFonts w:ascii="Times New Roman" w:hAnsi="Times New Roman"/>
          <w:color w:val="000000"/>
          <w:sz w:val="28"/>
        </w:rPr>
        <w:t>линии занимает изучени</w:t>
      </w:r>
      <w:r>
        <w:rPr>
          <w:rFonts w:ascii="Times New Roman" w:hAnsi="Times New Roman"/>
          <w:color w:val="000000"/>
          <w:sz w:val="28"/>
        </w:rPr>
        <w:t xml:space="preserve">е </w:t>
      </w:r>
      <w:r>
        <w:rPr>
          <w:rFonts w:ascii="Times New Roman" w:hAnsi="Times New Roman"/>
          <w:color w:val="000000"/>
          <w:sz w:val="28"/>
        </w:rPr>
        <w:t>геометрического</w:t>
      </w:r>
      <w:r>
        <w:rPr>
          <w:rFonts w:ascii="Times New Roman" w:hAnsi="Times New Roman"/>
          <w:color w:val="000000"/>
          <w:sz w:val="28"/>
        </w:rPr>
        <w:t xml:space="preserve"> и биномиального распределений и знакомство с их непрерывными аналогами – показательным и нормальным распределениями.</w:t>
      </w:r>
    </w:p>
    <w:p w14:paraId="3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Темы, связанные с непрерывными случайными величинами и распределениями, акцентируют внимание обучающихся на описании и из</w:t>
      </w:r>
      <w:r>
        <w:rPr>
          <w:rFonts w:ascii="Times New Roman" w:hAnsi="Times New Roman"/>
          <w:color w:val="000000"/>
          <w:sz w:val="28"/>
        </w:rPr>
        <w:t>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14:paraId="3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учебном курсе предусматривается ознакомительное изучение связи между случайными величинами и описание этой связи с помощью ко</w:t>
      </w:r>
      <w:r>
        <w:rPr>
          <w:rFonts w:ascii="Times New Roman" w:hAnsi="Times New Roman"/>
          <w:color w:val="000000"/>
          <w:sz w:val="28"/>
        </w:rPr>
        <w:t>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14:paraId="3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Ещё один элемент содержания,</w:t>
      </w:r>
      <w:r>
        <w:rPr>
          <w:rFonts w:ascii="Times New Roman" w:hAnsi="Times New Roman"/>
          <w:color w:val="000000"/>
          <w:sz w:val="28"/>
        </w:rPr>
        <w:t xml:space="preserve">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</w:t>
      </w:r>
      <w:r>
        <w:rPr>
          <w:rFonts w:ascii="Times New Roman" w:hAnsi="Times New Roman"/>
          <w:color w:val="000000"/>
          <w:sz w:val="28"/>
        </w:rPr>
        <w:t>щих абитуриентов, поступающих на учебные специальности, связанные с общественными науками, психологией и управлением.</w:t>
      </w:r>
    </w:p>
    <w:p w14:paraId="3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5" w:name="b36699e0-a848-4276-9295-9131bc7b4ab1"/>
      <w:bookmarkEnd w:id="5"/>
      <w:r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на углубленном уровне отводится 68 часов: в 10 классе – 34 часа (1 час в неделю), в</w:t>
      </w:r>
      <w:r>
        <w:rPr>
          <w:rFonts w:ascii="Times New Roman" w:hAnsi="Times New Roman"/>
          <w:color w:val="000000"/>
          <w:sz w:val="28"/>
        </w:rPr>
        <w:t xml:space="preserve"> 11 классе – 34 часа (1 час в неделю).</w:t>
      </w:r>
      <w:r>
        <w:rPr>
          <w:rFonts w:ascii="Times New Roman" w:hAnsi="Times New Roman"/>
          <w:color w:val="000000"/>
          <w:sz w:val="28"/>
        </w:rPr>
        <w:t>‌‌</w:t>
      </w:r>
    </w:p>
    <w:p w14:paraId="3C000000">
      <w:pPr>
        <w:sectPr>
          <w:pgSz w:h="16383" w:w="11906"/>
          <w:pgMar w:bottom="1134" w:footer="720" w:gutter="0" w:header="720" w:left="1701" w:right="850" w:top="1134"/>
        </w:sectPr>
      </w:pPr>
    </w:p>
    <w:p w14:paraId="3D000000">
      <w:pPr>
        <w:spacing w:after="0" w:line="264" w:lineRule="auto"/>
        <w:ind w:firstLine="0" w:left="120"/>
        <w:jc w:val="both"/>
      </w:pPr>
      <w:bookmarkStart w:id="6" w:name="block-20505960"/>
      <w:bookmarkEnd w:id="6"/>
      <w:r>
        <w:rPr>
          <w:rFonts w:ascii="Times New Roman" w:hAnsi="Times New Roman"/>
          <w:b w:val="1"/>
          <w:color w:val="000000"/>
          <w:sz w:val="28"/>
        </w:rPr>
        <w:t>СОДЕРЖАНИЕ ОБУЧЕНИЯ</w:t>
      </w:r>
    </w:p>
    <w:p w14:paraId="3E000000">
      <w:pPr>
        <w:spacing w:after="0" w:line="264" w:lineRule="auto"/>
        <w:ind w:firstLine="0" w:left="120"/>
        <w:jc w:val="both"/>
      </w:pPr>
    </w:p>
    <w:p w14:paraId="3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10 КЛАСС</w:t>
      </w:r>
    </w:p>
    <w:p w14:paraId="40000000">
      <w:pPr>
        <w:spacing w:after="0" w:line="264" w:lineRule="auto"/>
        <w:ind w:firstLine="0" w:left="120"/>
        <w:jc w:val="both"/>
      </w:pPr>
    </w:p>
    <w:p w14:paraId="4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14:paraId="4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Случайные эксперименты (опыты) и случайные события. Элементарные собы</w:t>
      </w:r>
      <w:r>
        <w:rPr>
          <w:rFonts w:ascii="Times New Roman" w:hAnsi="Times New Roman"/>
          <w:color w:val="000000"/>
          <w:sz w:val="28"/>
        </w:rPr>
        <w:t xml:space="preserve">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14:paraId="4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Операции над событиями: пересечение, объединение, противоположные события. </w:t>
      </w:r>
      <w:r>
        <w:rPr>
          <w:rFonts w:ascii="Times New Roman" w:hAnsi="Times New Roman"/>
          <w:color w:val="000000"/>
          <w:sz w:val="28"/>
        </w:rPr>
        <w:t>Диаграммы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Эйлера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Формула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сложения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вероятностей</w:t>
      </w:r>
      <w:r>
        <w:rPr>
          <w:rFonts w:ascii="Times New Roman" w:hAnsi="Times New Roman"/>
          <w:color w:val="000000"/>
          <w:sz w:val="28"/>
        </w:rPr>
        <w:t>.</w:t>
      </w:r>
    </w:p>
    <w:p w14:paraId="4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Условная вероятность. Умножение вероятностей. Дерево случайного эксперимента. </w:t>
      </w:r>
      <w:r>
        <w:rPr>
          <w:rFonts w:ascii="Times New Roman" w:hAnsi="Times New Roman"/>
          <w:color w:val="000000"/>
          <w:sz w:val="28"/>
        </w:rPr>
        <w:t>Формула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полной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вероятности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Формула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Байеса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Независимые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события</w:t>
      </w:r>
      <w:r>
        <w:rPr>
          <w:rFonts w:ascii="Times New Roman" w:hAnsi="Times New Roman"/>
          <w:color w:val="000000"/>
          <w:sz w:val="28"/>
        </w:rPr>
        <w:t>.</w:t>
      </w:r>
    </w:p>
    <w:p w14:paraId="4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Бинарный случайный опыт (испытание), успех и неудача. Независимые испытания. Серия независимых испы</w:t>
      </w:r>
      <w:r>
        <w:rPr>
          <w:rFonts w:ascii="Times New Roman" w:hAnsi="Times New Roman"/>
          <w:color w:val="000000"/>
          <w:sz w:val="28"/>
        </w:rPr>
        <w:t xml:space="preserve">таний до первого успеха. Перестановки и факториал. Число сочетаний. Треугольник Паскаля. Формула бинома Ньютона. </w:t>
      </w:r>
    </w:p>
    <w:p w14:paraId="4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Серия независимых испытаний Бернулли. Случайный выбор из конечной совокупности. </w:t>
      </w:r>
    </w:p>
    <w:p w14:paraId="4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Случайная величина. Распределение вероятностей. Диаграмма рас</w:t>
      </w:r>
      <w:r>
        <w:rPr>
          <w:rFonts w:ascii="Times New Roman" w:hAnsi="Times New Roman"/>
          <w:color w:val="000000"/>
          <w:sz w:val="28"/>
        </w:rPr>
        <w:t xml:space="preserve">пределения. Операции над случайными величинами. Бинарная случайная величина. Примеры распределений, в том числе </w:t>
      </w:r>
      <w:r>
        <w:rPr>
          <w:rFonts w:ascii="Times New Roman" w:hAnsi="Times New Roman"/>
          <w:color w:val="000000"/>
          <w:sz w:val="28"/>
        </w:rPr>
        <w:t>геометрическое</w:t>
      </w:r>
      <w:r>
        <w:rPr>
          <w:rFonts w:ascii="Times New Roman" w:hAnsi="Times New Roman"/>
          <w:color w:val="000000"/>
          <w:sz w:val="28"/>
        </w:rPr>
        <w:t xml:space="preserve"> и биномиальное.</w:t>
      </w:r>
    </w:p>
    <w:p w14:paraId="48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11 КЛАСС</w:t>
      </w:r>
    </w:p>
    <w:p w14:paraId="49000000">
      <w:pPr>
        <w:spacing w:after="0" w:line="264" w:lineRule="auto"/>
        <w:ind w:firstLine="0" w:left="120"/>
        <w:jc w:val="both"/>
      </w:pPr>
    </w:p>
    <w:p w14:paraId="4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Совместное распределение двух случайных величин. Независимые случайные величины.</w:t>
      </w:r>
    </w:p>
    <w:p w14:paraId="4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Математическое ожидани</w:t>
      </w:r>
      <w:r>
        <w:rPr>
          <w:rFonts w:ascii="Times New Roman" w:hAnsi="Times New Roman"/>
          <w:color w:val="000000"/>
          <w:sz w:val="28"/>
        </w:rPr>
        <w:t>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</w:t>
      </w:r>
      <w:r>
        <w:rPr>
          <w:rFonts w:ascii="Times New Roman" w:hAnsi="Times New Roman"/>
          <w:color w:val="000000"/>
          <w:sz w:val="28"/>
        </w:rPr>
        <w:t xml:space="preserve">ального распределений. </w:t>
      </w:r>
    </w:p>
    <w:p w14:paraId="4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</w:t>
      </w:r>
      <w:r>
        <w:rPr>
          <w:rFonts w:ascii="Times New Roman" w:hAnsi="Times New Roman"/>
          <w:color w:val="000000"/>
          <w:sz w:val="28"/>
        </w:rPr>
        <w:t xml:space="preserve">иномиального распределения. Дисперсия и стандартное отклонение геометрического распределения. </w:t>
      </w:r>
    </w:p>
    <w:p w14:paraId="4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Неравенство Чебышёва. Теорема Чебышёва. Теорема Бернулли. </w:t>
      </w:r>
      <w:r>
        <w:rPr>
          <w:rFonts w:ascii="Times New Roman" w:hAnsi="Times New Roman"/>
          <w:color w:val="000000"/>
          <w:sz w:val="28"/>
        </w:rPr>
        <w:t>Закон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больших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чисел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Выборочный метод исследований. Выборочные характеристики. Оценивание вероятности </w:t>
      </w:r>
      <w:r>
        <w:rPr>
          <w:rFonts w:ascii="Times New Roman" w:hAnsi="Times New Roman"/>
          <w:color w:val="000000"/>
          <w:sz w:val="28"/>
        </w:rPr>
        <w:t>события по выборочным данным. Проверка простейших гипотез с помощью изученных распределений.</w:t>
      </w:r>
    </w:p>
    <w:p w14:paraId="4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</w:t>
      </w:r>
      <w:r>
        <w:rPr>
          <w:rFonts w:ascii="Times New Roman" w:hAnsi="Times New Roman"/>
          <w:color w:val="000000"/>
          <w:sz w:val="28"/>
        </w:rPr>
        <w:t xml:space="preserve">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Последовательность </w:t>
      </w:r>
      <w:r>
        <w:rPr>
          <w:rFonts w:ascii="Times New Roman" w:hAnsi="Times New Roman"/>
          <w:color w:val="000000"/>
          <w:sz w:val="28"/>
        </w:rPr>
        <w:t>одиночных независимых событий. Задачи, приводящие к распределению Пуассона.</w:t>
      </w:r>
    </w:p>
    <w:p w14:paraId="5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</w:t>
      </w:r>
      <w:r>
        <w:rPr>
          <w:rFonts w:ascii="Times New Roman" w:hAnsi="Times New Roman"/>
          <w:color w:val="000000"/>
          <w:sz w:val="28"/>
        </w:rPr>
        <w:t>-следственной связью. Линейная регрессия, метод наименьших квадратов.</w:t>
      </w:r>
    </w:p>
    <w:p w14:paraId="51000000">
      <w:pPr>
        <w:sectPr>
          <w:pgSz w:h="16383" w:w="11906"/>
          <w:pgMar w:bottom="1134" w:footer="720" w:gutter="0" w:header="720" w:left="1701" w:right="850" w:top="1134"/>
        </w:sectPr>
      </w:pPr>
    </w:p>
    <w:p w14:paraId="52000000">
      <w:pPr>
        <w:spacing w:after="0" w:line="264" w:lineRule="auto"/>
        <w:ind w:firstLine="0" w:left="120"/>
        <w:jc w:val="both"/>
      </w:pPr>
      <w:bookmarkStart w:id="7" w:name="block-20505959"/>
      <w:bookmarkEnd w:id="7"/>
      <w:r>
        <w:rPr>
          <w:rFonts w:ascii="Times New Roman" w:hAnsi="Times New Roman"/>
          <w:b w:val="1"/>
          <w:color w:val="000000"/>
          <w:sz w:val="28"/>
        </w:rPr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14:paraId="53000000">
      <w:pPr>
        <w:spacing w:after="0" w:line="264" w:lineRule="auto"/>
        <w:ind w:firstLine="0" w:left="120"/>
        <w:jc w:val="both"/>
      </w:pPr>
    </w:p>
    <w:p w14:paraId="54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55000000">
      <w:pPr>
        <w:spacing w:after="0" w:line="264" w:lineRule="auto"/>
        <w:ind w:firstLine="0" w:left="120"/>
        <w:jc w:val="both"/>
      </w:pPr>
    </w:p>
    <w:p w14:paraId="5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1) гражданского воспит</w:t>
      </w:r>
      <w:r>
        <w:rPr>
          <w:rFonts w:ascii="Times New Roman" w:hAnsi="Times New Roman"/>
          <w:b w:val="1"/>
          <w:color w:val="000000"/>
          <w:sz w:val="28"/>
        </w:rPr>
        <w:t>ания:</w:t>
      </w:r>
    </w:p>
    <w:p w14:paraId="5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</w:t>
      </w:r>
      <w:r>
        <w:rPr>
          <w:rFonts w:ascii="Times New Roman" w:hAnsi="Times New Roman"/>
          <w:color w:val="000000"/>
          <w:sz w:val="28"/>
        </w:rPr>
        <w:t>, умение взаимодействовать с социальными институтами в соответствии с их функциями и назначением;</w:t>
      </w:r>
    </w:p>
    <w:p w14:paraId="5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2) патриотического воспитания:</w:t>
      </w:r>
    </w:p>
    <w:p w14:paraId="5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ценностное отноше</w:t>
      </w:r>
      <w:r>
        <w:rPr>
          <w:rFonts w:ascii="Times New Roman" w:hAnsi="Times New Roman"/>
          <w:color w:val="000000"/>
          <w:sz w:val="28"/>
        </w:rPr>
        <w:t>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14:paraId="5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3) духовно-нравственного воспитания:</w:t>
      </w:r>
    </w:p>
    <w:p w14:paraId="5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духовных ценностей российского народа, </w:t>
      </w: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5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4) эстетического воспитания:</w:t>
      </w:r>
    </w:p>
    <w:p w14:paraId="5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</w:t>
      </w:r>
      <w:r>
        <w:rPr>
          <w:rFonts w:ascii="Times New Roman" w:hAnsi="Times New Roman"/>
          <w:color w:val="000000"/>
          <w:sz w:val="28"/>
        </w:rPr>
        <w:t>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14:paraId="5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5) физического воспитания:</w:t>
      </w:r>
    </w:p>
    <w:p w14:paraId="5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</w:t>
      </w:r>
      <w:r>
        <w:rPr>
          <w:rFonts w:ascii="Times New Roman" w:hAnsi="Times New Roman"/>
          <w:color w:val="000000"/>
          <w:sz w:val="28"/>
        </w:rPr>
        <w:t>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6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6) трудовог</w:t>
      </w:r>
      <w:r>
        <w:rPr>
          <w:rFonts w:ascii="Times New Roman" w:hAnsi="Times New Roman"/>
          <w:b w:val="1"/>
          <w:color w:val="000000"/>
          <w:sz w:val="28"/>
        </w:rPr>
        <w:t>о воспитания:</w:t>
      </w: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</w:t>
      </w:r>
      <w:r>
        <w:rPr>
          <w:rFonts w:ascii="Times New Roman" w:hAnsi="Times New Roman"/>
          <w:color w:val="000000"/>
          <w:sz w:val="28"/>
        </w:rPr>
        <w:t xml:space="preserve">планы, готовность и способность к математическому образованию и </w:t>
      </w:r>
      <w:r>
        <w:rPr>
          <w:rFonts w:ascii="Times New Roman" w:hAnsi="Times New Roman"/>
          <w:color w:val="000000"/>
          <w:sz w:val="28"/>
        </w:rPr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6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7) экологического воспитания: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</w:t>
      </w:r>
      <w:r>
        <w:rPr>
          <w:rFonts w:ascii="Times New Roman" w:hAnsi="Times New Roman"/>
          <w:color w:val="000000"/>
          <w:sz w:val="28"/>
        </w:rPr>
        <w:t>щей среды, планирование поступков и оценки их возможных последствий для окружающей среды;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8) ценности научного познания: 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 математической </w:t>
      </w:r>
      <w:r>
        <w:rPr>
          <w:rFonts w:ascii="Times New Roman" w:hAnsi="Times New Roman"/>
          <w:color w:val="000000"/>
          <w:sz w:val="28"/>
        </w:rPr>
        <w:t>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</w:t>
      </w:r>
      <w:r>
        <w:rPr>
          <w:rFonts w:ascii="Times New Roman" w:hAnsi="Times New Roman"/>
          <w:color w:val="000000"/>
          <w:sz w:val="28"/>
        </w:rPr>
        <w:t>видуально и в группе.</w:t>
      </w:r>
    </w:p>
    <w:p w14:paraId="66000000">
      <w:pPr>
        <w:spacing w:after="0" w:line="264" w:lineRule="auto"/>
        <w:ind w:firstLine="0" w:left="120"/>
        <w:jc w:val="both"/>
      </w:pPr>
    </w:p>
    <w:p w14:paraId="67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68000000">
      <w:pPr>
        <w:spacing w:after="0" w:line="264" w:lineRule="auto"/>
        <w:ind w:firstLine="0" w:left="120"/>
        <w:jc w:val="both"/>
      </w:pPr>
    </w:p>
    <w:p w14:paraId="69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</w:t>
      </w:r>
      <w:r>
        <w:rPr>
          <w:rFonts w:ascii="Times New Roman" w:hAnsi="Times New Roman"/>
          <w:color w:val="000000"/>
          <w:sz w:val="28"/>
        </w:rPr>
        <w:t>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</w:t>
      </w:r>
      <w:r>
        <w:rPr>
          <w:rFonts w:ascii="Times New Roman" w:hAnsi="Times New Roman"/>
          <w:color w:val="000000"/>
          <w:sz w:val="28"/>
        </w:rPr>
        <w:t>ловные;</w:t>
      </w:r>
    </w:p>
    <w:p w14:paraId="6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14:paraId="6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</w:t>
      </w:r>
      <w:r>
        <w:rPr>
          <w:rFonts w:ascii="Times New Roman" w:hAnsi="Times New Roman"/>
          <w:color w:val="000000"/>
          <w:sz w:val="28"/>
        </w:rPr>
        <w:t>вных умозаключений, умозаключений по аналогии;</w:t>
      </w:r>
    </w:p>
    <w:p w14:paraId="6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r>
        <w:rPr>
          <w:rFonts w:ascii="Times New Roman" w:hAnsi="Times New Roman"/>
          <w:color w:val="000000"/>
          <w:sz w:val="28"/>
        </w:rPr>
        <w:t>контрпримеры</w:t>
      </w:r>
      <w:r>
        <w:rPr>
          <w:rFonts w:ascii="Times New Roman" w:hAnsi="Times New Roman"/>
          <w:color w:val="000000"/>
          <w:sz w:val="28"/>
        </w:rPr>
        <w:t>, обосновывать собственные суждения и выводы;</w:t>
      </w:r>
    </w:p>
    <w:p w14:paraId="7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выбирать спо</w:t>
      </w:r>
      <w:r>
        <w:rPr>
          <w:rFonts w:ascii="Times New Roman" w:hAnsi="Times New Roman"/>
          <w:color w:val="000000"/>
          <w:sz w:val="28"/>
        </w:rPr>
        <w:t>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действия:</w:t>
      </w:r>
    </w:p>
    <w:p w14:paraId="7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</w:t>
      </w:r>
      <w:r>
        <w:rPr>
          <w:rFonts w:ascii="Times New Roman" w:hAnsi="Times New Roman"/>
          <w:color w:val="000000"/>
          <w:sz w:val="28"/>
        </w:rPr>
        <w:t>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7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</w:t>
      </w:r>
      <w:r>
        <w:rPr>
          <w:rFonts w:ascii="Times New Roman" w:hAnsi="Times New Roman"/>
          <w:color w:val="000000"/>
          <w:sz w:val="28"/>
        </w:rPr>
        <w:t>а, явления, процесса, выявлению зависимостей между объектами, явлениями, процессами;</w:t>
      </w:r>
    </w:p>
    <w:p w14:paraId="7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7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14:paraId="7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выбирать информацию из источнико</w:t>
      </w:r>
      <w:r>
        <w:rPr>
          <w:rFonts w:ascii="Times New Roman" w:hAnsi="Times New Roman"/>
          <w:color w:val="000000"/>
          <w:sz w:val="28"/>
        </w:rPr>
        <w:t>в различных типов, анализировать, систематизировать и интерпретировать информацию различных видов и форм представления;</w:t>
      </w:r>
    </w:p>
    <w:p w14:paraId="7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14:paraId="7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самостояте</w:t>
      </w:r>
      <w:r>
        <w:rPr>
          <w:rFonts w:ascii="Times New Roman" w:hAnsi="Times New Roman"/>
          <w:color w:val="000000"/>
          <w:sz w:val="28"/>
        </w:rPr>
        <w:t>льно сформулированным критериям.</w:t>
      </w:r>
    </w:p>
    <w:p w14:paraId="7B000000">
      <w:pPr>
        <w:spacing w:after="0" w:line="264" w:lineRule="auto"/>
        <w:ind w:firstLine="0" w:left="120"/>
        <w:jc w:val="both"/>
      </w:pPr>
    </w:p>
    <w:p w14:paraId="7C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</w:p>
    <w:p w14:paraId="7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</w:t>
      </w:r>
      <w:r>
        <w:rPr>
          <w:rFonts w:ascii="Times New Roman" w:hAnsi="Times New Roman"/>
          <w:color w:val="000000"/>
          <w:sz w:val="28"/>
        </w:rPr>
        <w:t xml:space="preserve">ать пояснения по ходу решения задачи, комментировать полученный результат; </w:t>
      </w:r>
    </w:p>
    <w:p w14:paraId="7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</w:t>
      </w:r>
      <w:r>
        <w:rPr>
          <w:rFonts w:ascii="Times New Roman" w:hAnsi="Times New Roman"/>
          <w:color w:val="000000"/>
          <w:sz w:val="28"/>
        </w:rPr>
        <w:t>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8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</w:t>
      </w:r>
      <w:r>
        <w:rPr>
          <w:rFonts w:ascii="Times New Roman" w:hAnsi="Times New Roman"/>
          <w:color w:val="000000"/>
          <w:sz w:val="28"/>
        </w:rPr>
        <w:t>том задач презентации и особенностей аудитории.</w:t>
      </w:r>
    </w:p>
    <w:p w14:paraId="81000000">
      <w:pPr>
        <w:spacing w:after="0" w:line="264" w:lineRule="auto"/>
        <w:ind w:firstLine="0" w:left="120"/>
        <w:jc w:val="both"/>
      </w:pPr>
    </w:p>
    <w:p w14:paraId="82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8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8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план, алгоритм решения задачи, выбирать способ решения с учётом имеющихся ресурсов и собственных возможностей, аргументировать и </w:t>
      </w:r>
      <w:r>
        <w:rPr>
          <w:rFonts w:ascii="Times New Roman" w:hAnsi="Times New Roman"/>
          <w:color w:val="000000"/>
          <w:sz w:val="28"/>
        </w:rPr>
        <w:t>корректировать варианты решений с учётом новой информации.</w:t>
      </w:r>
    </w:p>
    <w:p w14:paraId="8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Самоконтроль, эмоциональный интеллект:</w:t>
      </w:r>
    </w:p>
    <w:p w14:paraId="8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</w:t>
      </w:r>
      <w:r>
        <w:rPr>
          <w:rFonts w:ascii="Times New Roman" w:hAnsi="Times New Roman"/>
          <w:color w:val="000000"/>
          <w:sz w:val="28"/>
        </w:rPr>
        <w:t>троля процесса и результата решения математической задачи;</w:t>
      </w: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8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оценивать соотве</w:t>
      </w:r>
      <w:r>
        <w:rPr>
          <w:rFonts w:ascii="Times New Roman" w:hAnsi="Times New Roman"/>
          <w:color w:val="000000"/>
          <w:sz w:val="28"/>
        </w:rPr>
        <w:t xml:space="preserve">тствие результата цели и условиям, объяснять причины достижения или </w:t>
      </w:r>
      <w:r>
        <w:rPr>
          <w:rFonts w:ascii="Times New Roman" w:hAnsi="Times New Roman"/>
          <w:color w:val="000000"/>
          <w:sz w:val="28"/>
        </w:rPr>
        <w:t>недостижения</w:t>
      </w:r>
      <w:r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14:paraId="8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8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</w:t>
      </w:r>
      <w:r>
        <w:rPr>
          <w:rFonts w:ascii="Times New Roman" w:hAnsi="Times New Roman"/>
          <w:color w:val="000000"/>
          <w:sz w:val="28"/>
        </w:rPr>
        <w:t>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8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</w:t>
      </w:r>
      <w:r>
        <w:rPr>
          <w:rFonts w:ascii="Times New Roman" w:hAnsi="Times New Roman"/>
          <w:color w:val="000000"/>
          <w:sz w:val="28"/>
        </w:rPr>
        <w:t>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8C000000">
      <w:pPr>
        <w:spacing w:after="0" w:line="264" w:lineRule="auto"/>
        <w:ind w:firstLine="0" w:left="120"/>
        <w:jc w:val="both"/>
      </w:pPr>
    </w:p>
    <w:p w14:paraId="8D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</w:t>
      </w:r>
      <w:r>
        <w:rPr>
          <w:rFonts w:ascii="Times New Roman" w:hAnsi="Times New Roman"/>
          <w:b w:val="1"/>
          <w:color w:val="000000"/>
          <w:sz w:val="28"/>
        </w:rPr>
        <w:t xml:space="preserve">ЕДМЕТНЫЕ РЕЗУЛЬТАТЫ </w:t>
      </w:r>
    </w:p>
    <w:p w14:paraId="8E000000">
      <w:pPr>
        <w:spacing w:after="0" w:line="264" w:lineRule="auto"/>
        <w:ind w:firstLine="0" w:left="120"/>
        <w:jc w:val="both"/>
      </w:pPr>
    </w:p>
    <w:p w14:paraId="8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 w:val="1"/>
          <w:color w:val="000000"/>
          <w:sz w:val="28"/>
        </w:rPr>
        <w:t>10 класса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</w:t>
      </w:r>
      <w:r>
        <w:rPr>
          <w:rFonts w:ascii="Times New Roman" w:hAnsi="Times New Roman"/>
          <w:color w:val="000000"/>
          <w:sz w:val="28"/>
        </w:rPr>
        <w:t xml:space="preserve"> научится:</w:t>
      </w:r>
    </w:p>
    <w:p w14:paraId="9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14:paraId="9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случайный эк</w:t>
      </w:r>
      <w:r>
        <w:rPr>
          <w:rFonts w:ascii="Times New Roman" w:hAnsi="Times New Roman"/>
          <w:color w:val="000000"/>
          <w:sz w:val="28"/>
        </w:rPr>
        <w:t>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14:paraId="9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и формулировать события: пересечение, объединение данных со</w:t>
      </w:r>
      <w:r>
        <w:rPr>
          <w:rFonts w:ascii="Times New Roman" w:hAnsi="Times New Roman"/>
          <w:color w:val="000000"/>
          <w:sz w:val="28"/>
        </w:rPr>
        <w:t xml:space="preserve">бытий, событие, противоположное </w:t>
      </w:r>
      <w:r>
        <w:rPr>
          <w:rFonts w:ascii="Times New Roman" w:hAnsi="Times New Roman"/>
          <w:color w:val="000000"/>
          <w:sz w:val="28"/>
        </w:rPr>
        <w:t>данному</w:t>
      </w:r>
      <w:r>
        <w:rPr>
          <w:rFonts w:ascii="Times New Roman" w:hAnsi="Times New Roman"/>
          <w:color w:val="000000"/>
          <w:sz w:val="28"/>
        </w:rPr>
        <w:t>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14:paraId="9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условная вероятность, умножени</w:t>
      </w:r>
      <w:r>
        <w:rPr>
          <w:rFonts w:ascii="Times New Roman" w:hAnsi="Times New Roman"/>
          <w:color w:val="000000"/>
          <w:sz w:val="28"/>
        </w:rPr>
        <w:t>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</w:t>
      </w:r>
      <w:r>
        <w:rPr>
          <w:rFonts w:ascii="Times New Roman" w:hAnsi="Times New Roman"/>
          <w:color w:val="000000"/>
          <w:sz w:val="28"/>
        </w:rPr>
        <w:t>тий по формуле и по организации случайного эксперимента;</w:t>
      </w:r>
    </w:p>
    <w:p w14:paraId="9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14:paraId="9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</w:t>
      </w:r>
      <w:r>
        <w:rPr>
          <w:rFonts w:ascii="Times New Roman" w:hAnsi="Times New Roman"/>
          <w:color w:val="000000"/>
          <w:sz w:val="28"/>
        </w:rPr>
        <w:t xml:space="preserve">ором из конечной совокупности; </w:t>
      </w:r>
    </w:p>
    <w:p w14:paraId="9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14:paraId="9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 w:val="1"/>
          <w:color w:val="000000"/>
          <w:sz w:val="28"/>
        </w:rPr>
        <w:t>11 класса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</w:t>
      </w:r>
      <w:r>
        <w:rPr>
          <w:rFonts w:ascii="Times New Roman" w:hAnsi="Times New Roman"/>
          <w:color w:val="000000"/>
          <w:sz w:val="28"/>
        </w:rPr>
        <w:t xml:space="preserve"> научится:</w:t>
      </w:r>
    </w:p>
    <w:p w14:paraId="9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опери</w:t>
      </w:r>
      <w:r>
        <w:rPr>
          <w:rFonts w:ascii="Times New Roman" w:hAnsi="Times New Roman"/>
          <w:color w:val="000000"/>
          <w:sz w:val="28"/>
        </w:rPr>
        <w:t>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14:paraId="9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</w:t>
      </w:r>
      <w:r>
        <w:rPr>
          <w:rFonts w:ascii="Times New Roman" w:hAnsi="Times New Roman"/>
          <w:color w:val="000000"/>
          <w:sz w:val="28"/>
        </w:rPr>
        <w:t xml:space="preserve">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14:paraId="9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дисперсия, станда</w:t>
      </w:r>
      <w:r>
        <w:rPr>
          <w:rFonts w:ascii="Times New Roman" w:hAnsi="Times New Roman"/>
          <w:color w:val="000000"/>
          <w:sz w:val="28"/>
        </w:rPr>
        <w:t>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14:paraId="9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выборочные характеристики по </w:t>
      </w:r>
      <w:r>
        <w:rPr>
          <w:rFonts w:ascii="Times New Roman" w:hAnsi="Times New Roman"/>
          <w:color w:val="000000"/>
          <w:sz w:val="28"/>
        </w:rPr>
        <w:t>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14:paraId="9C000000">
      <w:pPr>
        <w:sectPr>
          <w:pgSz w:h="16383" w:w="11906"/>
          <w:pgMar w:bottom="1134" w:footer="720" w:gutter="0" w:header="720" w:left="1701" w:right="850" w:top="1134"/>
        </w:sectPr>
      </w:pPr>
    </w:p>
    <w:p w14:paraId="9D000000">
      <w:pPr>
        <w:spacing w:after="0"/>
        <w:ind w:firstLine="0" w:left="120"/>
      </w:pPr>
      <w:bookmarkStart w:id="8" w:name="block-20505963"/>
      <w:bookmarkEnd w:id="8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9E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10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66"/>
        <w:gridCol w:w="4645"/>
        <w:gridCol w:w="1544"/>
        <w:gridCol w:w="1841"/>
        <w:gridCol w:w="1910"/>
        <w:gridCol w:w="2662"/>
      </w:tblGrid>
      <w:tr>
        <w:trPr>
          <w:trHeight w:hRule="atLeast" w:val="144"/>
        </w:trPr>
        <w:tc>
          <w:tcPr>
            <w:tcW w:type="dxa" w:w="1066"/>
            <w:vMerge w:val="restart"/>
            <w:tcMar>
              <w:top w:type="dxa" w:w="50"/>
              <w:left w:type="dxa" w:w="100"/>
            </w:tcMar>
            <w:vAlign w:val="center"/>
          </w:tcPr>
          <w:p w14:paraId="9F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A0000000">
            <w:pPr>
              <w:spacing w:after="0"/>
              <w:ind w:firstLine="0" w:left="135"/>
            </w:pPr>
          </w:p>
        </w:tc>
        <w:tc>
          <w:tcPr>
            <w:tcW w:type="dxa" w:w="4645"/>
            <w:vMerge w:val="restart"/>
            <w:tcMar>
              <w:top w:type="dxa" w:w="50"/>
              <w:left w:type="dxa" w:w="100"/>
            </w:tcMar>
            <w:vAlign w:val="center"/>
          </w:tcPr>
          <w:p w14:paraId="A1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разделов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2000000">
            <w:pPr>
              <w:spacing w:after="0"/>
              <w:ind w:firstLine="0" w:left="135"/>
            </w:pPr>
          </w:p>
        </w:tc>
        <w:tc>
          <w:tcPr>
            <w:tcW w:type="dxa" w:w="5295"/>
            <w:gridSpan w:val="3"/>
            <w:tcMar>
              <w:top w:type="dxa" w:w="50"/>
              <w:left w:type="dxa" w:w="100"/>
            </w:tcMar>
            <w:vAlign w:val="center"/>
          </w:tcPr>
          <w:p w14:paraId="A300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662"/>
            <w:vMerge w:val="restart"/>
            <w:tcMar>
              <w:top w:type="dxa" w:w="50"/>
              <w:left w:type="dxa" w:w="100"/>
            </w:tcMar>
            <w:vAlign w:val="center"/>
          </w:tcPr>
          <w:p w14:paraId="A4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5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64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A6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700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900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B000000">
            <w:pPr>
              <w:spacing w:after="0"/>
              <w:ind w:firstLine="0" w:left="135"/>
            </w:pPr>
          </w:p>
        </w:tc>
        <w:tc>
          <w:tcPr>
            <w:tcW w:type="dxa" w:w="266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C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AD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AE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B1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2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B3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Случайные опыты, случайные события и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событий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B4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5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6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B7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8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B9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BA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BD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E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BF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C0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C3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C4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C5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Серии последовательных испытаний. Испытания Бернулли. Случайный </w:t>
            </w:r>
            <w:r>
              <w:rPr>
                <w:rFonts w:ascii="Times New Roman" w:hAnsi="Times New Roman"/>
                <w:color w:val="000000"/>
                <w:sz w:val="24"/>
              </w:rPr>
              <w:t>выбор из конечной совокупности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C6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C9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CA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645"/>
            <w:tcMar>
              <w:top w:type="dxa" w:w="50"/>
              <w:left w:type="dxa" w:w="100"/>
            </w:tcMar>
            <w:vAlign w:val="center"/>
          </w:tcPr>
          <w:p w14:paraId="CB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CC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D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E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CF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D0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44"/>
            <w:tcMar>
              <w:top w:type="dxa" w:w="50"/>
              <w:left w:type="dxa" w:w="100"/>
            </w:tcMar>
            <w:vAlign w:val="center"/>
          </w:tcPr>
          <w:p w14:paraId="D1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662"/>
            <w:tcMar>
              <w:top w:type="dxa" w:w="50"/>
              <w:left w:type="dxa" w:w="100"/>
            </w:tcMar>
            <w:vAlign w:val="center"/>
          </w:tcPr>
          <w:p w14:paraId="D4000000"/>
        </w:tc>
      </w:tr>
    </w:tbl>
    <w:p w14:paraId="D5000000">
      <w:pPr>
        <w:sectPr>
          <w:pgSz w:h="11906" w:w="16383"/>
          <w:pgMar w:bottom="1134" w:footer="720" w:gutter="0" w:header="720" w:left="1701" w:right="850" w:top="1134"/>
        </w:sectPr>
      </w:pPr>
    </w:p>
    <w:p w14:paraId="D6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11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129"/>
        <w:gridCol w:w="4582"/>
        <w:gridCol w:w="1576"/>
        <w:gridCol w:w="1841"/>
        <w:gridCol w:w="1910"/>
        <w:gridCol w:w="2718"/>
      </w:tblGrid>
      <w:tr>
        <w:trPr>
          <w:trHeight w:hRule="atLeast" w:val="144"/>
        </w:trPr>
        <w:tc>
          <w:tcPr>
            <w:tcW w:type="dxa" w:w="1129"/>
            <w:vMerge w:val="restart"/>
            <w:tcMar>
              <w:top w:type="dxa" w:w="50"/>
              <w:left w:type="dxa" w:w="100"/>
            </w:tcMar>
            <w:vAlign w:val="center"/>
          </w:tcPr>
          <w:p w14:paraId="D7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D8000000">
            <w:pPr>
              <w:spacing w:after="0"/>
              <w:ind w:firstLine="0" w:left="135"/>
            </w:pPr>
          </w:p>
        </w:tc>
        <w:tc>
          <w:tcPr>
            <w:tcW w:type="dxa" w:w="4582"/>
            <w:vMerge w:val="restart"/>
            <w:tcMar>
              <w:top w:type="dxa" w:w="50"/>
              <w:left w:type="dxa" w:w="100"/>
            </w:tcMar>
            <w:vAlign w:val="center"/>
          </w:tcPr>
          <w:p w14:paraId="D9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разделов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DA000000">
            <w:pPr>
              <w:spacing w:after="0"/>
              <w:ind w:firstLine="0" w:left="135"/>
            </w:pPr>
          </w:p>
        </w:tc>
        <w:tc>
          <w:tcPr>
            <w:tcW w:type="dxa" w:w="5327"/>
            <w:gridSpan w:val="3"/>
            <w:tcMar>
              <w:top w:type="dxa" w:w="50"/>
              <w:left w:type="dxa" w:w="100"/>
            </w:tcMar>
            <w:vAlign w:val="center"/>
          </w:tcPr>
          <w:p w14:paraId="DB00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718"/>
            <w:vMerge w:val="restart"/>
            <w:tcMar>
              <w:top w:type="dxa" w:w="50"/>
              <w:left w:type="dxa" w:w="100"/>
            </w:tcMar>
            <w:vAlign w:val="center"/>
          </w:tcPr>
          <w:p w14:paraId="DC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DD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2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8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76"/>
            <w:tcMar>
              <w:top w:type="dxa" w:w="50"/>
              <w:left w:type="dxa" w:w="100"/>
            </w:tcMar>
            <w:vAlign w:val="center"/>
          </w:tcPr>
          <w:p w14:paraId="DE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DF00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100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3000000">
            <w:pPr>
              <w:spacing w:after="0"/>
              <w:ind w:firstLine="0" w:left="135"/>
            </w:pPr>
          </w:p>
        </w:tc>
        <w:tc>
          <w:tcPr>
            <w:tcW w:type="dxa" w:w="271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29"/>
            <w:tcMar>
              <w:top w:type="dxa" w:w="50"/>
              <w:left w:type="dxa" w:w="100"/>
            </w:tcMar>
            <w:vAlign w:val="center"/>
          </w:tcPr>
          <w:p w14:paraId="E4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582"/>
            <w:tcMar>
              <w:top w:type="dxa" w:w="50"/>
              <w:left w:type="dxa" w:w="100"/>
            </w:tcMar>
            <w:vAlign w:val="center"/>
          </w:tcPr>
          <w:p w14:paraId="E5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type="dxa" w:w="1576"/>
            <w:tcMar>
              <w:top w:type="dxa" w:w="50"/>
              <w:left w:type="dxa" w:w="100"/>
            </w:tcMar>
            <w:vAlign w:val="center"/>
          </w:tcPr>
          <w:p w14:paraId="E6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18"/>
            <w:tcMar>
              <w:top w:type="dxa" w:w="50"/>
              <w:left w:type="dxa" w:w="100"/>
            </w:tcMar>
            <w:vAlign w:val="center"/>
          </w:tcPr>
          <w:p w14:paraId="E9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29"/>
            <w:tcMar>
              <w:top w:type="dxa" w:w="50"/>
              <w:left w:type="dxa" w:w="100"/>
            </w:tcMar>
            <w:vAlign w:val="center"/>
          </w:tcPr>
          <w:p w14:paraId="EA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582"/>
            <w:tcMar>
              <w:top w:type="dxa" w:w="50"/>
              <w:left w:type="dxa" w:w="100"/>
            </w:tcMar>
            <w:vAlign w:val="center"/>
          </w:tcPr>
          <w:p w14:paraId="EB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</w:p>
        </w:tc>
        <w:tc>
          <w:tcPr>
            <w:tcW w:type="dxa" w:w="1576"/>
            <w:tcMar>
              <w:top w:type="dxa" w:w="50"/>
              <w:left w:type="dxa" w:w="100"/>
            </w:tcMar>
            <w:vAlign w:val="center"/>
          </w:tcPr>
          <w:p w14:paraId="EC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D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E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18"/>
            <w:tcMar>
              <w:top w:type="dxa" w:w="50"/>
              <w:left w:type="dxa" w:w="100"/>
            </w:tcMar>
            <w:vAlign w:val="center"/>
          </w:tcPr>
          <w:p w14:paraId="EF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29"/>
            <w:tcMar>
              <w:top w:type="dxa" w:w="50"/>
              <w:left w:type="dxa" w:w="100"/>
            </w:tcMar>
            <w:vAlign w:val="center"/>
          </w:tcPr>
          <w:p w14:paraId="F0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582"/>
            <w:tcMar>
              <w:top w:type="dxa" w:w="50"/>
              <w:left w:type="dxa" w:w="100"/>
            </w:tcMar>
            <w:vAlign w:val="center"/>
          </w:tcPr>
          <w:p w14:paraId="F1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(распределения), показательное и нормальное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распределения</w:t>
            </w:r>
          </w:p>
        </w:tc>
        <w:tc>
          <w:tcPr>
            <w:tcW w:type="dxa" w:w="1576"/>
            <w:tcMar>
              <w:top w:type="dxa" w:w="50"/>
              <w:left w:type="dxa" w:w="100"/>
            </w:tcMar>
            <w:vAlign w:val="center"/>
          </w:tcPr>
          <w:p w14:paraId="F2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18"/>
            <w:tcMar>
              <w:top w:type="dxa" w:w="50"/>
              <w:left w:type="dxa" w:w="100"/>
            </w:tcMar>
            <w:vAlign w:val="center"/>
          </w:tcPr>
          <w:p w14:paraId="F5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29"/>
            <w:tcMar>
              <w:top w:type="dxa" w:w="50"/>
              <w:left w:type="dxa" w:w="100"/>
            </w:tcMar>
            <w:vAlign w:val="center"/>
          </w:tcPr>
          <w:p w14:paraId="F6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582"/>
            <w:tcMar>
              <w:top w:type="dxa" w:w="50"/>
              <w:left w:type="dxa" w:w="100"/>
            </w:tcMar>
            <w:vAlign w:val="center"/>
          </w:tcPr>
          <w:p w14:paraId="F7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</w:p>
        </w:tc>
        <w:tc>
          <w:tcPr>
            <w:tcW w:type="dxa" w:w="1576"/>
            <w:tcMar>
              <w:top w:type="dxa" w:w="50"/>
              <w:left w:type="dxa" w:w="100"/>
            </w:tcMar>
            <w:vAlign w:val="center"/>
          </w:tcPr>
          <w:p w14:paraId="F8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18"/>
            <w:tcMar>
              <w:top w:type="dxa" w:w="50"/>
              <w:left w:type="dxa" w:w="100"/>
            </w:tcMar>
            <w:vAlign w:val="center"/>
          </w:tcPr>
          <w:p w14:paraId="FB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29"/>
            <w:tcMar>
              <w:top w:type="dxa" w:w="50"/>
              <w:left w:type="dxa" w:w="100"/>
            </w:tcMar>
            <w:vAlign w:val="center"/>
          </w:tcPr>
          <w:p w14:paraId="FC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582"/>
            <w:tcMar>
              <w:top w:type="dxa" w:w="50"/>
              <w:left w:type="dxa" w:w="100"/>
            </w:tcMar>
            <w:vAlign w:val="center"/>
          </w:tcPr>
          <w:p w14:paraId="FD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</w:p>
        </w:tc>
        <w:tc>
          <w:tcPr>
            <w:tcW w:type="dxa" w:w="1576"/>
            <w:tcMar>
              <w:top w:type="dxa" w:w="50"/>
              <w:left w:type="dxa" w:w="100"/>
            </w:tcMar>
            <w:vAlign w:val="center"/>
          </w:tcPr>
          <w:p w14:paraId="FE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18"/>
            <w:tcMar>
              <w:top w:type="dxa" w:w="50"/>
              <w:left w:type="dxa" w:w="100"/>
            </w:tcMar>
            <w:vAlign w:val="center"/>
          </w:tcPr>
          <w:p w14:paraId="01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29"/>
            <w:tcMar>
              <w:top w:type="dxa" w:w="50"/>
              <w:left w:type="dxa" w:w="100"/>
            </w:tcMar>
            <w:vAlign w:val="center"/>
          </w:tcPr>
          <w:p w14:paraId="0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582"/>
            <w:tcMar>
              <w:top w:type="dxa" w:w="50"/>
              <w:left w:type="dxa" w:w="100"/>
            </w:tcMar>
            <w:vAlign w:val="center"/>
          </w:tcPr>
          <w:p w14:paraId="0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type="dxa" w:w="1576"/>
            <w:tcMar>
              <w:top w:type="dxa" w:w="50"/>
              <w:left w:type="dxa" w:w="100"/>
            </w:tcMar>
            <w:vAlign w:val="center"/>
          </w:tcPr>
          <w:p w14:paraId="0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18"/>
            <w:tcMar>
              <w:top w:type="dxa" w:w="50"/>
              <w:left w:type="dxa" w:w="100"/>
            </w:tcMar>
            <w:vAlign w:val="center"/>
          </w:tcPr>
          <w:p w14:paraId="07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0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76"/>
            <w:tcMar>
              <w:top w:type="dxa" w:w="50"/>
              <w:left w:type="dxa" w:w="100"/>
            </w:tcMar>
            <w:vAlign w:val="center"/>
          </w:tcPr>
          <w:p w14:paraId="0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718"/>
            <w:tcMar>
              <w:top w:type="dxa" w:w="50"/>
              <w:left w:type="dxa" w:w="100"/>
            </w:tcMar>
            <w:vAlign w:val="center"/>
          </w:tcPr>
          <w:p w14:paraId="0C010000"/>
        </w:tc>
      </w:tr>
    </w:tbl>
    <w:p w14:paraId="0D010000">
      <w:pPr>
        <w:sectPr>
          <w:pgSz w:h="11906" w:w="16383"/>
          <w:pgMar w:bottom="1134" w:footer="720" w:gutter="0" w:header="720" w:left="1701" w:right="850" w:top="1134"/>
        </w:sectPr>
      </w:pPr>
    </w:p>
    <w:p w14:paraId="0E010000">
      <w:pPr>
        <w:spacing w:after="0"/>
        <w:ind w:firstLine="0" w:left="120"/>
      </w:pPr>
      <w:bookmarkStart w:id="9" w:name="block-20505962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0F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10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65"/>
        <w:gridCol w:w="4292"/>
        <w:gridCol w:w="1288"/>
        <w:gridCol w:w="1841"/>
        <w:gridCol w:w="1910"/>
        <w:gridCol w:w="1423"/>
        <w:gridCol w:w="2221"/>
      </w:tblGrid>
      <w:tr>
        <w:trPr>
          <w:trHeight w:hRule="atLeast" w:val="144"/>
        </w:trPr>
        <w:tc>
          <w:tcPr>
            <w:tcW w:type="dxa" w:w="1065"/>
            <w:vMerge w:val="restart"/>
            <w:tcMar>
              <w:top w:type="dxa" w:w="50"/>
              <w:left w:type="dxa" w:w="100"/>
            </w:tcMar>
            <w:vAlign w:val="center"/>
          </w:tcPr>
          <w:p w14:paraId="1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11010000">
            <w:pPr>
              <w:spacing w:after="0"/>
              <w:ind w:firstLine="0" w:left="135"/>
            </w:pPr>
          </w:p>
        </w:tc>
        <w:tc>
          <w:tcPr>
            <w:tcW w:type="dxa" w:w="4292"/>
            <w:vMerge w:val="restart"/>
            <w:tcMar>
              <w:top w:type="dxa" w:w="50"/>
              <w:left w:type="dxa" w:w="100"/>
            </w:tcMar>
            <w:vAlign w:val="center"/>
          </w:tcPr>
          <w:p w14:paraId="1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урока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3010000">
            <w:pPr>
              <w:spacing w:after="0"/>
              <w:ind w:firstLine="0" w:left="135"/>
            </w:pPr>
          </w:p>
        </w:tc>
        <w:tc>
          <w:tcPr>
            <w:tcW w:type="dxa" w:w="5039"/>
            <w:gridSpan w:val="3"/>
            <w:tcMar>
              <w:top w:type="dxa" w:w="50"/>
              <w:left w:type="dxa" w:w="100"/>
            </w:tcMar>
            <w:vAlign w:val="center"/>
          </w:tcPr>
          <w:p w14:paraId="14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1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Дата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изучения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601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1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8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29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1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A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C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E01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1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2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Граф, связный граф, представление задачи с помощью графа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2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5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26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2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(валентность) вершины.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2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C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2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2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 на плоскости. Дерево случайного эксперимента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2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3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3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3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3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A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3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3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3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1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4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4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4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8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4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4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Пересечение, объединение множеств и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4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F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5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5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5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6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5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Условная вероятность.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вероятностей. Формула условной вероятности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5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Байеса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B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6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умножения. Перестановки и факториал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7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бинома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8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7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Бинарный случайный опыт (испытание), успех и </w:t>
            </w:r>
            <w:r>
              <w:rPr>
                <w:rFonts w:ascii="Times New Roman" w:hAnsi="Times New Roman"/>
                <w:color w:val="000000"/>
                <w:sz w:val="24"/>
              </w:rPr>
              <w:t>неудача. Независимые испытания. Серия независимых испытаний до первого успеха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9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до первого успеха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C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9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9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Случайный выбор из </w:t>
            </w:r>
            <w:r>
              <w:rPr>
                <w:rFonts w:ascii="Times New Roman" w:hAnsi="Times New Roman"/>
                <w:color w:val="000000"/>
                <w:sz w:val="24"/>
              </w:rPr>
              <w:t>конечной совокупности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9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A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Операции над случайными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величинами. Примеры распределений. </w:t>
            </w:r>
            <w:r>
              <w:rPr>
                <w:rFonts w:ascii="Times New Roman" w:hAnsi="Times New Roman"/>
                <w:color w:val="000000"/>
                <w:sz w:val="24"/>
              </w:rPr>
              <w:t>Бинарная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случайной величины. Совместное распределение двух случайных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Независимые случайные величины. Свойства математического ожидания.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бинарной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бинарной случайной величины. Свойства дисперсии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и дисперсия суммы независимых случайных величин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5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292"/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357"/>
            <w:gridSpan w:val="2"/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88"/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644"/>
            <w:gridSpan w:val="2"/>
            <w:tcMar>
              <w:top w:type="dxa" w:w="50"/>
              <w:left w:type="dxa" w:w="100"/>
            </w:tcMar>
            <w:vAlign w:val="center"/>
          </w:tcPr>
          <w:p w14:paraId="11020000"/>
        </w:tc>
      </w:tr>
    </w:tbl>
    <w:p w14:paraId="12020000">
      <w:pPr>
        <w:sectPr>
          <w:pgSz w:h="11906" w:w="16383"/>
          <w:pgMar w:bottom="1134" w:footer="720" w:gutter="0" w:header="720" w:left="1701" w:right="850" w:top="1134"/>
        </w:sectPr>
      </w:pPr>
    </w:p>
    <w:p w14:paraId="13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11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>
        <w:trPr>
          <w:trHeight w:hRule="atLeast" w:val="144"/>
        </w:trPr>
        <w:tc>
          <w:tcPr>
            <w:tcW w:type="dxa" w:w="946"/>
            <w:vMerge w:val="restart"/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15020000">
            <w:pPr>
              <w:spacing w:after="0"/>
              <w:ind w:firstLine="0" w:left="135"/>
            </w:pPr>
          </w:p>
        </w:tc>
        <w:tc>
          <w:tcPr>
            <w:tcW w:type="dxa" w:w="4528"/>
            <w:vMerge w:val="restart"/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урока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7020000">
            <w:pPr>
              <w:spacing w:after="0"/>
              <w:ind w:firstLine="0" w:left="135"/>
            </w:pPr>
          </w:p>
        </w:tc>
        <w:tc>
          <w:tcPr>
            <w:tcW w:type="dxa" w:w="4998"/>
            <w:gridSpan w:val="3"/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1347"/>
            <w:vMerge w:val="restart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Дата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изучения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A02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2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E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20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2202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Неравенство Чебышева. Теорема Чебышева. Теорема Бернулли. </w:t>
            </w:r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Неравенство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Чебышева. Теорема Чебышева. Теорема Бернулли. </w:t>
            </w:r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Неравенство Чебышева. Теорема Чебышева. Теорема Бернулли. </w:t>
            </w:r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с использованием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Генеральная совокупность и случайная выборка.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Оценивание вероятностей событий по выборке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Статистическая гипотеза. Проверка простейших гипотез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свойств изученных распределений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непрерывных случайных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величин. Функция плотности вероятности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распределение. Примеры задач, приводящих к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показательному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к нормальному распределениям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Функция плотности вероятности показательного распределения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 плотности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нормального распределения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Ковариация двух случайных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величин. Коэффициент корреляции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корреляции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Различие между линейной связью и причинно-следственной связью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регрессия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использованием электронных таблиц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формул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"Вероятность и статистика"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вероятностей событий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применением формул и графических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методов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6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528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474"/>
            <w:gridSpan w:val="2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47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568"/>
            <w:gridSpan w:val="2"/>
            <w:tcMar>
              <w:top w:type="dxa" w:w="50"/>
              <w:left w:type="dxa" w:w="100"/>
            </w:tcMar>
            <w:vAlign w:val="center"/>
          </w:tcPr>
          <w:p w14:paraId="15030000"/>
        </w:tc>
      </w:tr>
    </w:tbl>
    <w:p w14:paraId="16030000">
      <w:pPr>
        <w:spacing w:after="0"/>
        <w:ind w:firstLine="0" w:left="-589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17030000">
      <w:pPr>
        <w:sectPr>
          <w:pgSz w:h="11906" w:w="16383"/>
          <w:pgMar w:bottom="1134" w:footer="720" w:gutter="0" w:header="720" w:left="1701" w:right="850" w:top="1134"/>
        </w:sectPr>
      </w:pPr>
    </w:p>
    <w:p w14:paraId="1803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4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Normal Indent"/>
    <w:basedOn w:val="Style_2"/>
    <w:link w:val="Style_8_ch"/>
    <w:pPr>
      <w:ind w:firstLine="0" w:left="720"/>
    </w:pPr>
  </w:style>
  <w:style w:styleId="Style_8_ch" w:type="character">
    <w:name w:val="Normal Indent"/>
    <w:basedOn w:val="Style_2_ch"/>
    <w:link w:val="Style_8"/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9_ch" w:type="character">
    <w:name w:val="heading 3"/>
    <w:basedOn w:val="Style_2_ch"/>
    <w:link w:val="Style_9"/>
    <w:rPr>
      <w:rFonts w:asciiTheme="majorAscii" w:hAnsiTheme="majorHAnsi"/>
      <w:b w:val="1"/>
      <w:color w:themeColor="accent1" w:val="000000"/>
    </w:rPr>
  </w:style>
  <w:style w:styleId="Style_10" w:type="paragraph">
    <w:name w:val="Emphasis"/>
    <w:basedOn w:val="Style_4"/>
    <w:link w:val="Style_10_ch"/>
    <w:rPr>
      <w:i w:val="1"/>
    </w:rPr>
  </w:style>
  <w:style w:styleId="Style_10_ch" w:type="character">
    <w:name w:val="Emphasis"/>
    <w:basedOn w:val="Style_4_ch"/>
    <w:link w:val="Style_10"/>
    <w:rPr>
      <w:i w:val="1"/>
    </w:rPr>
  </w:style>
  <w:style w:styleId="Style_11" w:type="paragraph">
    <w:name w:val="header"/>
    <w:basedOn w:val="Style_2"/>
    <w:link w:val="Style_11_ch"/>
    <w:pPr>
      <w:tabs>
        <w:tab w:leader="none" w:pos="4680" w:val="center"/>
        <w:tab w:leader="none" w:pos="9360" w:val="right"/>
      </w:tabs>
      <w:ind/>
    </w:pPr>
  </w:style>
  <w:style w:styleId="Style_11_ch" w:type="character">
    <w:name w:val="header"/>
    <w:basedOn w:val="Style_2_ch"/>
    <w:link w:val="Style_11"/>
  </w:style>
  <w:style w:styleId="Style_12" w:type="paragraph">
    <w:name w:val="toc 3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3" w:type="paragraph">
    <w:name w:val="heading 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4_ch" w:type="character">
    <w:name w:val="heading 1"/>
    <w:basedOn w:val="Style_2_ch"/>
    <w:link w:val="Style_14"/>
    <w:rPr>
      <w:rFonts w:asciiTheme="majorAscii" w:hAnsiTheme="majorHAnsi"/>
      <w:b w:val="1"/>
      <w:color w:themeColor="accent1" w:themeShade="BF" w:val="000000"/>
      <w:sz w:val="28"/>
    </w:rPr>
  </w:style>
  <w:style w:styleId="Style_15" w:type="paragraph">
    <w:name w:val="Hyperlink"/>
    <w:basedOn w:val="Style_4"/>
    <w:link w:val="Style_15_ch"/>
    <w:rPr>
      <w:color w:themeColor="hyperlink" w:val="000000"/>
      <w:u w:val="single"/>
    </w:rPr>
  </w:style>
  <w:style w:styleId="Style_15_ch" w:type="character">
    <w:name w:val="Hyperlink"/>
    <w:basedOn w:val="Style_4_ch"/>
    <w:link w:val="Style_15"/>
    <w:rPr>
      <w:color w:themeColor="hyperlink" w:val="000000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caption"/>
    <w:basedOn w:val="Style_2"/>
    <w:next w:val="Style_2"/>
    <w:link w:val="Style_22_ch"/>
    <w:pPr>
      <w:spacing w:line="240" w:lineRule="auto"/>
      <w:ind/>
    </w:pPr>
    <w:rPr>
      <w:b w:val="1"/>
      <w:color w:themeColor="accent1" w:val="000000"/>
      <w:sz w:val="18"/>
    </w:rPr>
  </w:style>
  <w:style w:styleId="Style_22_ch" w:type="character">
    <w:name w:val="caption"/>
    <w:basedOn w:val="Style_2_ch"/>
    <w:link w:val="Style_22"/>
    <w:rPr>
      <w:b w:val="1"/>
      <w:color w:themeColor="accent1" w:val="000000"/>
      <w:sz w:val="18"/>
    </w:rPr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000000"/>
      <w:spacing w:val="15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000000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000000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000000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